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Scott Erickson is a touring painter, performance speaker, and creative curate who mixes autobiography, mythology, and aesthetics to create art and moments that speak to our deepest experiences.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Using his passion and commitment to craft, Scott has been a working artist for over a decade, and has had his work appear on CNN, National Geographic, and various magazines and newspaper outlets. Scott is globally known for his “Stations In The Street,” an open share stations of the cross street art show, that was hung by faith communities worldwide, and utilized for Tyler Perry’s Passion Live on Fox Television.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a speaker, Scott brings his training as an educator and his experience as a visual communicator to all of his presentations. His goal is to bring something for his “A.D.D. brothers and sisters out there”… making sure every speech is thoughtful, entertaining, wondrous, and filled with visual elements and live creating. You can find Scott speaking at various weekend retreats, conferences, theaters, and performance halls throughout the nation.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Wrestling with his own professional burnout and clinical depression, Scott believes in turning your deepest pain into something that can be restorative. He did just that in writing his first touring one man show We Are Not Troubled Guests in which he navigates the surprising gift of an existential crisis through storytelling, live painting, and video curation. His most recent multi-media performance piece is called Say Yes: A Liturgy of Not Giving Up on Yourself.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Scott is the author of Say Yes: Discover the Surprising Life beyond the Death of a Dream (January 2022), Honest Advent: Awakening to the Wonder of God-with-Us Then, Here, and Now, and co-author of PRAYER: 40 Days of Practice and MAY IT BE SO: Forty Days with the Lord’s Prayer with Justin McRoberts. He is a trained Spiritual Director to brave women and men, and a professional dishwasher for his food blogging wife.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Scott is most loved by his wife and their three children. They live in Austin, TX.</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